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466176">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AA6A00">
        <w:rPr>
          <w:rFonts w:ascii="PT Astra Serif" w:eastAsia="Times New Roman" w:hAnsi="PT Astra Serif" w:cs="Times New Roman"/>
          <w:b/>
          <w:kern w:val="2"/>
          <w:sz w:val="24"/>
          <w:szCs w:val="24"/>
          <w:lang w:eastAsia="ar-SA"/>
        </w:rPr>
        <w:t xml:space="preserve">по </w:t>
      </w:r>
      <w:r w:rsidR="00A90C06">
        <w:rPr>
          <w:rFonts w:ascii="PT Astra Serif" w:eastAsia="Times New Roman" w:hAnsi="PT Astra Serif" w:cs="Times New Roman"/>
          <w:b/>
          <w:kern w:val="2"/>
          <w:sz w:val="24"/>
          <w:szCs w:val="24"/>
          <w:lang w:eastAsia="ar-SA"/>
        </w:rPr>
        <w:t xml:space="preserve">замене двери на </w:t>
      </w:r>
      <w:proofErr w:type="gramStart"/>
      <w:r w:rsidR="00A90C06">
        <w:rPr>
          <w:rFonts w:ascii="PT Astra Serif" w:eastAsia="Times New Roman" w:hAnsi="PT Astra Serif" w:cs="Times New Roman"/>
          <w:b/>
          <w:kern w:val="2"/>
          <w:sz w:val="24"/>
          <w:szCs w:val="24"/>
          <w:lang w:eastAsia="ar-SA"/>
        </w:rPr>
        <w:t>противопожарную</w:t>
      </w:r>
      <w:proofErr w:type="gramEnd"/>
      <w:r w:rsidR="00466176">
        <w:rPr>
          <w:rFonts w:ascii="PT Astra Serif" w:eastAsia="Times New Roman" w:hAnsi="PT Astra Serif" w:cs="Times New Roman"/>
          <w:b/>
          <w:kern w:val="2"/>
          <w:sz w:val="24"/>
          <w:szCs w:val="24"/>
          <w:lang w:eastAsia="ar-SA"/>
        </w:rPr>
        <w:t xml:space="preserve"> в помещении архива </w:t>
      </w:r>
      <w:proofErr w:type="spellStart"/>
      <w:r w:rsidR="00466176">
        <w:rPr>
          <w:rFonts w:ascii="PT Astra Serif" w:eastAsia="Times New Roman" w:hAnsi="PT Astra Serif" w:cs="Times New Roman"/>
          <w:b/>
          <w:kern w:val="2"/>
          <w:sz w:val="24"/>
          <w:szCs w:val="24"/>
          <w:lang w:eastAsia="ar-SA"/>
        </w:rPr>
        <w:t>ЗАГСа</w:t>
      </w:r>
      <w:proofErr w:type="spellEnd"/>
      <w:r w:rsidR="00466176">
        <w:rPr>
          <w:rFonts w:ascii="PT Astra Serif" w:eastAsia="Times New Roman" w:hAnsi="PT Astra Serif" w:cs="Times New Roman"/>
          <w:b/>
          <w:kern w:val="2"/>
          <w:sz w:val="24"/>
          <w:szCs w:val="24"/>
          <w:lang w:eastAsia="ar-SA"/>
        </w:rPr>
        <w:t xml:space="preserve"> в здании, находящегося по у</w:t>
      </w:r>
      <w:bookmarkStart w:id="0" w:name="_GoBack"/>
      <w:bookmarkEnd w:id="0"/>
      <w:r w:rsidR="00466176">
        <w:rPr>
          <w:rFonts w:ascii="PT Astra Serif" w:eastAsia="Times New Roman" w:hAnsi="PT Astra Serif" w:cs="Times New Roman"/>
          <w:b/>
          <w:kern w:val="2"/>
          <w:sz w:val="24"/>
          <w:szCs w:val="24"/>
          <w:lang w:eastAsia="ar-SA"/>
        </w:rPr>
        <w:t xml:space="preserve">л. Спортивная д.2 в городе </w:t>
      </w:r>
      <w:proofErr w:type="spellStart"/>
      <w:r w:rsidR="00466176">
        <w:rPr>
          <w:rFonts w:ascii="PT Astra Serif" w:eastAsia="Times New Roman" w:hAnsi="PT Astra Serif" w:cs="Times New Roman"/>
          <w:b/>
          <w:kern w:val="2"/>
          <w:sz w:val="24"/>
          <w:szCs w:val="24"/>
          <w:lang w:eastAsia="ar-SA"/>
        </w:rPr>
        <w:t>Югорске</w:t>
      </w:r>
      <w:proofErr w:type="spellEnd"/>
    </w:p>
    <w:p w:rsidR="00357671" w:rsidRDefault="00357671" w:rsidP="00466176">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466176">
        <w:rPr>
          <w:rFonts w:ascii="PT Astra Serif" w:eastAsia="Times New Roman" w:hAnsi="PT Astra Serif" w:cs="Times New Roman"/>
          <w:kern w:val="2"/>
          <w:sz w:val="24"/>
          <w:szCs w:val="24"/>
          <w:lang w:eastAsia="ar-SA"/>
        </w:rPr>
        <w:t xml:space="preserve">по замене двери на </w:t>
      </w:r>
      <w:proofErr w:type="gramStart"/>
      <w:r w:rsidR="00466176">
        <w:rPr>
          <w:rFonts w:ascii="PT Astra Serif" w:eastAsia="Times New Roman" w:hAnsi="PT Astra Serif" w:cs="Times New Roman"/>
          <w:kern w:val="2"/>
          <w:sz w:val="24"/>
          <w:szCs w:val="24"/>
          <w:lang w:eastAsia="ar-SA"/>
        </w:rPr>
        <w:t>противопожарную</w:t>
      </w:r>
      <w:proofErr w:type="gramEnd"/>
      <w:r w:rsidR="00466176">
        <w:rPr>
          <w:rFonts w:ascii="PT Astra Serif" w:eastAsia="Times New Roman" w:hAnsi="PT Astra Serif" w:cs="Times New Roman"/>
          <w:kern w:val="2"/>
          <w:sz w:val="24"/>
          <w:szCs w:val="24"/>
          <w:lang w:eastAsia="ar-SA"/>
        </w:rPr>
        <w:t xml:space="preserve"> в помещении архива </w:t>
      </w:r>
      <w:proofErr w:type="spellStart"/>
      <w:r w:rsidR="00466176">
        <w:rPr>
          <w:rFonts w:ascii="PT Astra Serif" w:eastAsia="Times New Roman" w:hAnsi="PT Astra Serif" w:cs="Times New Roman"/>
          <w:kern w:val="2"/>
          <w:sz w:val="24"/>
          <w:szCs w:val="24"/>
          <w:lang w:eastAsia="ar-SA"/>
        </w:rPr>
        <w:t>ЗАГСа</w:t>
      </w:r>
      <w:proofErr w:type="spellEnd"/>
      <w:r w:rsidR="00466176">
        <w:rPr>
          <w:rFonts w:ascii="PT Astra Serif" w:eastAsia="Times New Roman" w:hAnsi="PT Astra Serif" w:cs="Times New Roman"/>
          <w:kern w:val="2"/>
          <w:sz w:val="24"/>
          <w:szCs w:val="24"/>
          <w:lang w:eastAsia="ar-SA"/>
        </w:rPr>
        <w:t xml:space="preserve"> в здании, находящегося по ул. Спортивная, д.2  в городе </w:t>
      </w:r>
      <w:proofErr w:type="spellStart"/>
      <w:r w:rsidR="00466176">
        <w:rPr>
          <w:rFonts w:ascii="PT Astra Serif" w:eastAsia="Times New Roman" w:hAnsi="PT Astra Serif" w:cs="Times New Roman"/>
          <w:kern w:val="2"/>
          <w:sz w:val="24"/>
          <w:szCs w:val="24"/>
          <w:lang w:eastAsia="ar-SA"/>
        </w:rPr>
        <w:t>Югорске</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xml:space="preserve">, ул. </w:t>
      </w:r>
      <w:r w:rsidR="00466176">
        <w:rPr>
          <w:rFonts w:ascii="PT Astra Serif" w:hAnsi="PT Astra Serif"/>
        </w:rPr>
        <w:t>Спортивная д.2</w:t>
      </w:r>
      <w:r w:rsidR="00F4300A">
        <w:rPr>
          <w:rFonts w:ascii="PT Astra Serif" w:hAnsi="PT Astra Serif"/>
        </w:rPr>
        <w:t>.</w:t>
      </w:r>
      <w:proofErr w:type="gramEnd"/>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0A5A6A">
        <w:rPr>
          <w:rFonts w:ascii="PT Astra Serif" w:eastAsia="Times New Roman" w:hAnsi="PT Astra Serif" w:cs="Times New Roman"/>
          <w:kern w:val="2"/>
          <w:sz w:val="24"/>
          <w:szCs w:val="24"/>
          <w:lang w:eastAsia="ar-SA"/>
        </w:rPr>
        <w:t>по 20</w:t>
      </w:r>
      <w:r w:rsidR="00CC4AAA">
        <w:rPr>
          <w:rFonts w:ascii="PT Astra Serif" w:eastAsia="Times New Roman" w:hAnsi="PT Astra Serif" w:cs="Times New Roman"/>
          <w:kern w:val="2"/>
          <w:sz w:val="24"/>
          <w:szCs w:val="24"/>
          <w:lang w:eastAsia="ar-SA"/>
        </w:rPr>
        <w:t>.11</w:t>
      </w:r>
      <w:r w:rsidR="00CB24EE">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2"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 xml:space="preserve">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3"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w:t>
      </w:r>
      <w:r w:rsidR="0056067C">
        <w:rPr>
          <w:rFonts w:ascii="PT Astra Serif" w:eastAsia="Arial" w:hAnsi="PT Astra Serif"/>
          <w:sz w:val="24"/>
          <w:szCs w:val="24"/>
        </w:rPr>
        <w:t>ы (вступает в силу с</w:t>
      </w:r>
      <w:r w:rsidR="002A1EBA">
        <w:rPr>
          <w:rFonts w:ascii="PT Astra Serif" w:eastAsia="Arial" w:hAnsi="PT Astra Serif"/>
          <w:sz w:val="24"/>
          <w:szCs w:val="24"/>
        </w:rPr>
        <w:t xml:space="preserve">  01.04</w:t>
      </w:r>
      <w:r w:rsidRPr="00F1545F">
        <w:rPr>
          <w:rFonts w:ascii="PT Astra Serif" w:eastAsia="Arial" w:hAnsi="PT Astra Serif"/>
          <w:sz w:val="24"/>
          <w:szCs w:val="24"/>
        </w:rPr>
        <w:t>.</w:t>
      </w:r>
      <w:r w:rsidR="002A1EBA">
        <w:rPr>
          <w:rFonts w:ascii="PT Astra Serif" w:eastAsia="Arial" w:hAnsi="PT Astra Serif"/>
          <w:sz w:val="24"/>
          <w:szCs w:val="24"/>
        </w:rPr>
        <w:t>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CC4AAA">
        <w:rPr>
          <w:rFonts w:ascii="PT Astra Serif" w:eastAsia="Arial" w:hAnsi="PT Astra Serif"/>
          <w:sz w:val="24"/>
          <w:szCs w:val="24"/>
          <w:lang w:eastAsia="ru-RU"/>
        </w:rPr>
        <w:t>15</w:t>
      </w:r>
      <w:r w:rsidR="00946C0F">
        <w:rPr>
          <w:rFonts w:ascii="PT Astra Serif" w:eastAsia="Arial" w:hAnsi="PT Astra Serif"/>
          <w:sz w:val="24"/>
          <w:szCs w:val="24"/>
          <w:lang w:eastAsia="ru-RU"/>
        </w:rPr>
        <w:t>.</w:t>
      </w:r>
      <w:r w:rsidR="00CC4AAA">
        <w:rPr>
          <w:rFonts w:ascii="PT Astra Serif" w:eastAsia="Arial" w:hAnsi="PT Astra Serif"/>
          <w:sz w:val="24"/>
          <w:szCs w:val="24"/>
          <w:lang w:eastAsia="ru-RU"/>
        </w:rPr>
        <w:t>12</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sidR="00BE139C">
        <w:rPr>
          <w:rFonts w:ascii="PT Astra Serif" w:hAnsi="PT Astra Serif"/>
          <w:sz w:val="24"/>
          <w:szCs w:val="24"/>
        </w:rPr>
        <w:t xml:space="preserve"> обязательств составляет </w:t>
      </w:r>
      <w:r w:rsidR="00E342FC">
        <w:rPr>
          <w:rFonts w:ascii="PT Astra Serif" w:hAnsi="PT Astra Serif"/>
          <w:sz w:val="24"/>
          <w:szCs w:val="24"/>
        </w:rPr>
        <w:t>2416 (две тысячи четыреста шестнадцать) рублей 65  копеек</w:t>
      </w:r>
      <w:r>
        <w:rPr>
          <w:rFonts w:ascii="PT Astra Serif" w:hAnsi="PT Astra Serif"/>
          <w:sz w:val="24"/>
          <w:szCs w:val="24"/>
        </w:rPr>
        <w:t xml:space="preserve">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w:t>
      </w:r>
      <w:r w:rsidRPr="004A6986">
        <w:rPr>
          <w:rFonts w:ascii="PT Astra Serif" w:hAnsi="PT Astra Serif"/>
          <w:sz w:val="24"/>
          <w:szCs w:val="24"/>
          <w:lang w:eastAsia="ar-SA"/>
        </w:rPr>
        <w:lastRenderedPageBreak/>
        <w:t xml:space="preserve">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F2612D" w:rsidRPr="00E342FC" w:rsidRDefault="00C17A7E" w:rsidP="00E342FC">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r w:rsidR="00361E64">
        <w:rPr>
          <w:rFonts w:ascii="PT Astra Serif" w:hAnsi="PT Astra Serif"/>
          <w:sz w:val="24"/>
          <w:szCs w:val="24"/>
        </w:rPr>
        <w:t xml:space="preserve">                                                      </w:t>
      </w: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342FC" w:rsidRDefault="00E342FC" w:rsidP="00E342FC">
      <w:pPr>
        <w:autoSpaceDE w:val="0"/>
        <w:autoSpaceDN w:val="0"/>
        <w:adjustRightInd w:val="0"/>
        <w:spacing w:after="0"/>
        <w:jc w:val="center"/>
        <w:rPr>
          <w:rFonts w:ascii="PT Astra Serif" w:hAnsi="PT Astra Serif"/>
          <w:b/>
          <w:bCs/>
          <w:color w:val="000000"/>
        </w:rPr>
      </w:pPr>
      <w:r>
        <w:rPr>
          <w:rFonts w:ascii="PT Astra Serif" w:eastAsia="Times New Roman" w:hAnsi="PT Astra Serif" w:cs="Times New Roman"/>
          <w:b/>
          <w:bCs/>
          <w:kern w:val="2"/>
          <w:lang w:eastAsia="ar-SA"/>
        </w:rPr>
        <w:tab/>
      </w:r>
      <w:r>
        <w:rPr>
          <w:rFonts w:ascii="PT Astra Serif" w:hAnsi="PT Astra Serif"/>
          <w:b/>
          <w:bCs/>
          <w:color w:val="000000"/>
        </w:rPr>
        <w:t xml:space="preserve">Описание объекта закупки (техническое задание)  </w:t>
      </w:r>
    </w:p>
    <w:p w:rsidR="00E342FC" w:rsidRDefault="00E342FC" w:rsidP="00E342FC">
      <w:pPr>
        <w:jc w:val="center"/>
        <w:rPr>
          <w:rFonts w:ascii="PT Astra Serif" w:hAnsi="PT Astra Serif"/>
          <w:b/>
          <w:bCs/>
          <w:sz w:val="20"/>
          <w:szCs w:val="20"/>
          <w:u w:val="single"/>
        </w:rPr>
      </w:pPr>
      <w:r>
        <w:rPr>
          <w:rFonts w:ascii="PT Astra Serif" w:hAnsi="PT Astra Serif"/>
          <w:b/>
        </w:rPr>
        <w:t xml:space="preserve">на выполнение работ по замене двери на </w:t>
      </w:r>
      <w:proofErr w:type="spellStart"/>
      <w:proofErr w:type="gramStart"/>
      <w:r>
        <w:rPr>
          <w:rFonts w:ascii="PT Astra Serif" w:hAnsi="PT Astra Serif"/>
          <w:b/>
        </w:rPr>
        <w:t>противо</w:t>
      </w:r>
      <w:proofErr w:type="spellEnd"/>
      <w:r>
        <w:rPr>
          <w:rFonts w:ascii="PT Astra Serif" w:hAnsi="PT Astra Serif"/>
          <w:b/>
        </w:rPr>
        <w:t xml:space="preserve"> пожарную</w:t>
      </w:r>
      <w:proofErr w:type="gramEnd"/>
      <w:r>
        <w:rPr>
          <w:rFonts w:ascii="PT Astra Serif" w:hAnsi="PT Astra Serif"/>
          <w:b/>
        </w:rPr>
        <w:t xml:space="preserve"> в помещении архива </w:t>
      </w:r>
      <w:proofErr w:type="spellStart"/>
      <w:r>
        <w:rPr>
          <w:rFonts w:ascii="PT Astra Serif" w:hAnsi="PT Astra Serif"/>
          <w:b/>
        </w:rPr>
        <w:t>ЗАГСа</w:t>
      </w:r>
      <w:proofErr w:type="spellEnd"/>
      <w:r>
        <w:rPr>
          <w:rFonts w:ascii="PT Astra Serif" w:hAnsi="PT Astra Serif"/>
          <w:b/>
        </w:rPr>
        <w:t xml:space="preserve"> в здании, находящегося по ул. Спортивная, д.2 в городе </w:t>
      </w:r>
      <w:proofErr w:type="spellStart"/>
      <w:r>
        <w:rPr>
          <w:rFonts w:ascii="PT Astra Serif" w:hAnsi="PT Astra Serif"/>
          <w:b/>
        </w:rPr>
        <w:t>Югорске</w:t>
      </w:r>
      <w:proofErr w:type="spellEnd"/>
    </w:p>
    <w:p w:rsidR="00E342FC" w:rsidRDefault="00E342FC" w:rsidP="00E342FC">
      <w:pPr>
        <w:autoSpaceDE w:val="0"/>
        <w:autoSpaceDN w:val="0"/>
        <w:adjustRightInd w:val="0"/>
        <w:spacing w:after="0"/>
        <w:rPr>
          <w:rFonts w:ascii="PT Astra Serif" w:hAnsi="PT Astra Serif"/>
          <w:sz w:val="24"/>
          <w:szCs w:val="24"/>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proofErr w:type="gramStart"/>
      <w:r>
        <w:rPr>
          <w:rFonts w:ascii="PT Astra Serif" w:hAnsi="PT Astra Serif"/>
        </w:rPr>
        <w:t xml:space="preserve">Ханты - Мансийский автономный округ - Югра, г. </w:t>
      </w:r>
      <w:proofErr w:type="spellStart"/>
      <w:r>
        <w:rPr>
          <w:rFonts w:ascii="PT Astra Serif" w:hAnsi="PT Astra Serif"/>
        </w:rPr>
        <w:t>Югорск</w:t>
      </w:r>
      <w:proofErr w:type="spellEnd"/>
      <w:r>
        <w:rPr>
          <w:rFonts w:ascii="PT Astra Serif" w:hAnsi="PT Astra Serif"/>
        </w:rPr>
        <w:t>,                     ул. Спортивная д.2.</w:t>
      </w:r>
      <w:proofErr w:type="gramEnd"/>
    </w:p>
    <w:p w:rsidR="00E342FC" w:rsidRDefault="00E342FC" w:rsidP="00E342FC">
      <w:pPr>
        <w:autoSpaceDE w:val="0"/>
        <w:autoSpaceDN w:val="0"/>
        <w:adjustRightInd w:val="0"/>
        <w:spacing w:after="0"/>
        <w:rPr>
          <w:rFonts w:ascii="PT Astra Serif" w:hAnsi="PT Astra Serif"/>
          <w:b/>
          <w:u w:val="single"/>
        </w:rPr>
      </w:pPr>
      <w:r>
        <w:rPr>
          <w:rFonts w:ascii="PT Astra Serif" w:hAnsi="PT Astra Serif"/>
          <w:b/>
          <w:u w:val="single"/>
        </w:rPr>
        <w:t>Срок выполнения работ:</w:t>
      </w:r>
    </w:p>
    <w:p w:rsidR="00E342FC" w:rsidRDefault="00E342FC" w:rsidP="00E342FC">
      <w:pPr>
        <w:autoSpaceDE w:val="0"/>
        <w:snapToGrid w:val="0"/>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E342FC" w:rsidRDefault="00E342FC" w:rsidP="00E342FC">
      <w:pPr>
        <w:spacing w:after="0"/>
        <w:rPr>
          <w:rFonts w:ascii="PT Astra Serif" w:hAnsi="PT Astra Serif"/>
        </w:rPr>
      </w:pPr>
      <w:r>
        <w:rPr>
          <w:rFonts w:ascii="PT Astra Serif" w:hAnsi="PT Astra Serif"/>
        </w:rPr>
        <w:t>-  окончание: по  20.11.2024.</w:t>
      </w:r>
    </w:p>
    <w:p w:rsidR="00E342FC" w:rsidRDefault="00E342FC" w:rsidP="00E342FC">
      <w:pPr>
        <w:tabs>
          <w:tab w:val="num" w:pos="148"/>
        </w:tabs>
        <w:autoSpaceDE w:val="0"/>
        <w:autoSpaceDN w:val="0"/>
        <w:adjustRightInd w:val="0"/>
        <w:spacing w:after="0"/>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15.12.2024.</w:t>
      </w:r>
    </w:p>
    <w:p w:rsidR="00E342FC" w:rsidRDefault="00E342FC" w:rsidP="00E342FC">
      <w:pPr>
        <w:tabs>
          <w:tab w:val="num" w:pos="148"/>
        </w:tabs>
        <w:autoSpaceDE w:val="0"/>
        <w:autoSpaceDN w:val="0"/>
        <w:adjustRightInd w:val="0"/>
        <w:spacing w:after="0"/>
        <w:rPr>
          <w:rFonts w:ascii="PT Astra Serif" w:hAnsi="PT Astra Serif"/>
          <w:sz w:val="10"/>
          <w:szCs w:val="10"/>
        </w:rPr>
      </w:pPr>
    </w:p>
    <w:p w:rsidR="00E342FC" w:rsidRDefault="00E342FC" w:rsidP="00E342FC">
      <w:pPr>
        <w:pStyle w:val="a8"/>
        <w:spacing w:after="0" w:line="240" w:lineRule="auto"/>
        <w:ind w:left="0" w:firstLine="567"/>
        <w:jc w:val="both"/>
        <w:rPr>
          <w:rFonts w:ascii="PT Astra Serif" w:hAnsi="PT Astra Serif" w:cs="Times New Roman"/>
          <w:sz w:val="24"/>
          <w:szCs w:val="24"/>
          <w:lang w:eastAsia="ru-RU"/>
        </w:rPr>
      </w:pPr>
      <w:r>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342FC" w:rsidRDefault="00E342FC" w:rsidP="00E342FC">
      <w:pPr>
        <w:widowControl w:val="0"/>
        <w:suppressLineNumbers/>
        <w:shd w:val="clear" w:color="auto" w:fill="FFFFFF"/>
        <w:tabs>
          <w:tab w:val="left" w:pos="6180"/>
        </w:tabs>
        <w:snapToGrid w:val="0"/>
        <w:spacing w:after="0"/>
        <w:ind w:firstLine="567"/>
        <w:rPr>
          <w:rFonts w:ascii="PT Astra Serif" w:hAnsi="PT Astra Serif" w:cs="Times New Roman"/>
          <w:b/>
          <w:sz w:val="24"/>
          <w:szCs w:val="24"/>
          <w:lang w:eastAsia="ar-SA"/>
        </w:rPr>
      </w:pPr>
      <w:r>
        <w:rPr>
          <w:rFonts w:ascii="PT Astra Serif" w:hAnsi="PT Astra Serif"/>
          <w:b/>
        </w:rPr>
        <w:t>Требования к сроку и объему предоставления гарантии качества работ:</w:t>
      </w:r>
    </w:p>
    <w:p w:rsidR="00E342FC" w:rsidRDefault="00E342FC" w:rsidP="00E342FC">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E342FC" w:rsidRDefault="00E342FC" w:rsidP="00E342FC">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E342FC" w:rsidRDefault="00E342FC" w:rsidP="00E342FC">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E342FC" w:rsidRDefault="00E342FC" w:rsidP="00E342FC">
      <w:pPr>
        <w:spacing w:after="0"/>
        <w:ind w:firstLine="567"/>
        <w:rPr>
          <w:rFonts w:ascii="PT Astra Serif" w:hAnsi="PT Astra Serif"/>
        </w:rPr>
      </w:pPr>
      <w:r>
        <w:rPr>
          <w:rFonts w:ascii="PT Astra Serif" w:hAnsi="PT Astra Serif"/>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342FC" w:rsidRDefault="00E342FC" w:rsidP="00E342FC">
      <w:pPr>
        <w:spacing w:after="0"/>
        <w:ind w:firstLine="709"/>
        <w:rPr>
          <w:rFonts w:ascii="PT Astra Serif" w:eastAsia="Calibri" w:hAnsi="PT Astra Serif"/>
          <w:lang w:eastAsia="ru-RU"/>
        </w:rPr>
      </w:pPr>
      <w:r>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342FC" w:rsidRDefault="00E342FC" w:rsidP="00E342FC">
      <w:pPr>
        <w:tabs>
          <w:tab w:val="left" w:pos="709"/>
        </w:tabs>
        <w:spacing w:before="120" w:after="120"/>
        <w:contextualSpacing/>
        <w:rPr>
          <w:rFonts w:ascii="PT Astra Serif" w:eastAsia="Calibri" w:hAnsi="PT Astra Serif"/>
          <w:b/>
          <w:bCs/>
          <w:u w:val="single"/>
          <w:lang w:eastAsia="ru-RU"/>
        </w:rPr>
      </w:pPr>
      <w:r>
        <w:rPr>
          <w:rFonts w:ascii="PT Astra Serif" w:eastAsia="Calibri" w:hAnsi="PT Astra Serif"/>
          <w:b/>
          <w:bCs/>
          <w:u w:val="single"/>
          <w:lang w:eastAsia="ru-RU"/>
        </w:rPr>
        <w:t>Качественные характеристики объекта закупки:</w:t>
      </w:r>
    </w:p>
    <w:p w:rsidR="00E342FC" w:rsidRDefault="00E342FC" w:rsidP="00E342FC">
      <w:pPr>
        <w:tabs>
          <w:tab w:val="left" w:pos="0"/>
        </w:tabs>
        <w:spacing w:after="0"/>
        <w:ind w:firstLine="709"/>
        <w:rPr>
          <w:rFonts w:ascii="PT Astra Serif" w:eastAsia="Calibri" w:hAnsi="PT Astra Serif"/>
        </w:rPr>
      </w:pPr>
      <w:r>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Pr>
          <w:rFonts w:ascii="PT Astra Serif" w:eastAsia="Calibri" w:hAnsi="PT Astra Serif"/>
        </w:rPr>
        <w:t xml:space="preserve"> санитарных норм и правил (СанПиН)</w:t>
      </w:r>
      <w:r>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Pr>
          <w:rFonts w:ascii="PT Astra Serif" w:eastAsia="Calibri" w:hAnsi="PT Astra Serif"/>
        </w:rPr>
        <w:t xml:space="preserve"> методическими документами в строительстве (МДС), сметными нормами, техническими и технологическими рекомендациями (</w:t>
      </w:r>
      <w:proofErr w:type="gramStart"/>
      <w:r>
        <w:rPr>
          <w:rFonts w:ascii="PT Astra Serif" w:eastAsia="Calibri" w:hAnsi="PT Astra Serif"/>
        </w:rPr>
        <w:t>ТР</w:t>
      </w:r>
      <w:proofErr w:type="gramEnd"/>
      <w:r>
        <w:rPr>
          <w:rFonts w:ascii="PT Astra Serif" w:eastAsia="Calibri" w:hAnsi="PT Astra Serif"/>
        </w:rPr>
        <w:t>), определяющими нормы и правила ремонтно-строительных работ с безусловным учетом комплекса общих и специальных  требований.</w:t>
      </w:r>
    </w:p>
    <w:p w:rsidR="00E342FC" w:rsidRDefault="00E342FC" w:rsidP="00E342FC">
      <w:pPr>
        <w:spacing w:after="0"/>
        <w:contextualSpacing/>
        <w:rPr>
          <w:rFonts w:ascii="PT Astra Serif" w:eastAsia="Times New Roman" w:hAnsi="PT Astra Serif"/>
          <w:bCs/>
          <w:kern w:val="2"/>
          <w:lang w:eastAsia="ar-SA"/>
        </w:rPr>
      </w:pPr>
      <w:r>
        <w:rPr>
          <w:rFonts w:ascii="PT Astra Serif" w:hAnsi="PT Astra Serif"/>
        </w:rPr>
        <w:t>Подрядчик обязан провести все необходимые согласования для выполнения работ по настоящему контракту. Согласовать порядок и время производства работ с Муниципальным заказчиком.</w:t>
      </w:r>
    </w:p>
    <w:p w:rsidR="00E342FC" w:rsidRDefault="00E342FC" w:rsidP="00E342FC">
      <w:pPr>
        <w:shd w:val="clear" w:color="auto" w:fill="FFFFFF"/>
        <w:tabs>
          <w:tab w:val="left" w:pos="708"/>
        </w:tabs>
        <w:spacing w:after="0"/>
        <w:ind w:firstLine="708"/>
        <w:textAlignment w:val="baseline"/>
        <w:outlineLvl w:val="0"/>
        <w:rPr>
          <w:rFonts w:ascii="PT Astra Serif" w:hAnsi="PT Astra Serif"/>
          <w:bCs/>
        </w:rPr>
      </w:pPr>
      <w:r>
        <w:rPr>
          <w:rFonts w:ascii="PT Astra Serif" w:hAnsi="PT Astra Serif"/>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342FC" w:rsidRDefault="00E342FC" w:rsidP="00E342FC">
      <w:pPr>
        <w:spacing w:after="0"/>
        <w:rPr>
          <w:rFonts w:ascii="PT Astra Serif" w:hAnsi="PT Astra Serif"/>
          <w:kern w:val="2"/>
        </w:rPr>
      </w:pPr>
      <w:r>
        <w:rPr>
          <w:rFonts w:ascii="PT Astra Serif" w:hAnsi="PT Astra Serif"/>
          <w:b/>
          <w:u w:val="single"/>
        </w:rPr>
        <w:t>Требования к материалам, используемым при выполнении работ</w:t>
      </w:r>
      <w:r>
        <w:rPr>
          <w:rFonts w:ascii="PT Astra Serif" w:hAnsi="PT Astra Serif"/>
        </w:rPr>
        <w:t>:</w:t>
      </w:r>
    </w:p>
    <w:p w:rsidR="00E342FC" w:rsidRDefault="00E342FC" w:rsidP="00E342FC">
      <w:pPr>
        <w:widowControl w:val="0"/>
        <w:autoSpaceDE w:val="0"/>
        <w:autoSpaceDN w:val="0"/>
        <w:adjustRightInd w:val="0"/>
        <w:spacing w:after="0"/>
        <w:ind w:firstLine="709"/>
        <w:rPr>
          <w:rFonts w:ascii="PT Astra Serif" w:eastAsia="Calibri" w:hAnsi="PT Astra Serif"/>
          <w:lang w:eastAsia="ru-RU"/>
        </w:rPr>
      </w:pPr>
      <w:r>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w:t>
      </w:r>
      <w:r>
        <w:rPr>
          <w:rFonts w:ascii="PT Astra Serif" w:hAnsi="PT Astra Serif"/>
        </w:rPr>
        <w:lastRenderedPageBreak/>
        <w:t xml:space="preserve">паспорта, инструкции по эксплуатации и соответствовать требованиям действующего законодательства. </w:t>
      </w:r>
      <w:r>
        <w:rPr>
          <w:rFonts w:ascii="PT Astra Serif" w:eastAsia="Calibri" w:hAnsi="PT Astra Serif"/>
          <w:lang w:eastAsia="ru-RU"/>
        </w:rPr>
        <w:t>Использование бывших в употреблении материалов запрещается.</w:t>
      </w:r>
    </w:p>
    <w:p w:rsidR="00E342FC" w:rsidRDefault="00E342FC" w:rsidP="00E342FC">
      <w:pPr>
        <w:spacing w:after="0"/>
        <w:ind w:firstLine="709"/>
        <w:rPr>
          <w:rFonts w:ascii="PT Astra Serif" w:eastAsia="Times New Roman" w:hAnsi="PT Astra Serif"/>
          <w:kern w:val="2"/>
          <w:lang w:eastAsia="ar-SA"/>
        </w:rPr>
      </w:pPr>
    </w:p>
    <w:p w:rsidR="00E342FC" w:rsidRDefault="00E342FC" w:rsidP="00E342FC">
      <w:pPr>
        <w:pStyle w:val="Standard"/>
        <w:spacing w:before="120"/>
        <w:ind w:firstLine="567"/>
        <w:jc w:val="both"/>
        <w:rPr>
          <w:rFonts w:ascii="PT Astra Serif" w:hAnsi="PT Astra Serif"/>
          <w:i/>
          <w:lang w:val="ru-RU"/>
        </w:rPr>
      </w:pPr>
    </w:p>
    <w:p w:rsidR="00E342FC" w:rsidRDefault="00E342FC" w:rsidP="00E342FC">
      <w:pPr>
        <w:pStyle w:val="Standard"/>
        <w:spacing w:before="120"/>
        <w:ind w:firstLine="567"/>
        <w:rPr>
          <w:rFonts w:ascii="PT Astra Serif" w:hAnsi="PT Astra Serif"/>
          <w:lang w:val="ru-RU"/>
        </w:rPr>
      </w:pPr>
      <w:r>
        <w:rPr>
          <w:rFonts w:ascii="PT Astra Serif" w:hAnsi="PT Astra Serif"/>
          <w:i/>
          <w:lang w:val="ru-RU"/>
        </w:rPr>
        <w:t xml:space="preserve">          </w:t>
      </w:r>
      <w:r>
        <w:rPr>
          <w:rFonts w:ascii="PT Astra Serif" w:hAnsi="PT Astra Serif"/>
          <w:lang w:val="ru-RU"/>
        </w:rPr>
        <w:t xml:space="preserve">                                                                        </w:t>
      </w:r>
    </w:p>
    <w:p w:rsidR="00E342FC" w:rsidRDefault="00E342FC" w:rsidP="00E342FC">
      <w:pPr>
        <w:spacing w:after="0"/>
        <w:rPr>
          <w:rFonts w:ascii="PT Astra Serif" w:eastAsia="Andale Sans UI" w:hAnsi="PT Astra Serif" w:cs="Tahoma"/>
          <w:lang w:eastAsia="fa-IR" w:bidi="fa-IR"/>
        </w:rPr>
        <w:sectPr w:rsidR="00E342FC">
          <w:pgSz w:w="11906" w:h="16838"/>
          <w:pgMar w:top="426" w:right="851" w:bottom="1134" w:left="851" w:header="709" w:footer="709" w:gutter="0"/>
          <w:cols w:space="720"/>
        </w:sectPr>
      </w:pPr>
    </w:p>
    <w:p w:rsidR="00E342FC" w:rsidRDefault="00E342FC" w:rsidP="00E342FC">
      <w:pPr>
        <w:spacing w:after="0"/>
        <w:jc w:val="right"/>
        <w:rPr>
          <w:rFonts w:ascii="PT Astra Serif" w:hAnsi="PT Astra Serif"/>
          <w:b/>
        </w:rPr>
      </w:pPr>
      <w:bookmarkStart w:id="6" w:name="RANGE!A1"/>
      <w:bookmarkEnd w:id="6"/>
      <w:r>
        <w:rPr>
          <w:rFonts w:ascii="PT Astra Serif" w:hAnsi="PT Astra Serif"/>
          <w:b/>
        </w:rPr>
        <w:lastRenderedPageBreak/>
        <w:t>Приложение к описанию объекта закупки</w:t>
      </w:r>
    </w:p>
    <w:tbl>
      <w:tblPr>
        <w:tblStyle w:val="af4"/>
        <w:tblW w:w="0" w:type="auto"/>
        <w:tblInd w:w="0" w:type="dxa"/>
        <w:tblLook w:val="04A0" w:firstRow="1" w:lastRow="0" w:firstColumn="1" w:lastColumn="0" w:noHBand="0" w:noVBand="1"/>
      </w:tblPr>
      <w:tblGrid>
        <w:gridCol w:w="1049"/>
        <w:gridCol w:w="1418"/>
        <w:gridCol w:w="3081"/>
        <w:gridCol w:w="1028"/>
        <w:gridCol w:w="1028"/>
        <w:gridCol w:w="1389"/>
        <w:gridCol w:w="1426"/>
        <w:gridCol w:w="1028"/>
        <w:gridCol w:w="742"/>
        <w:gridCol w:w="1028"/>
        <w:gridCol w:w="1389"/>
        <w:gridCol w:w="889"/>
      </w:tblGrid>
      <w:tr w:rsidR="00E342FC" w:rsidTr="00E342FC">
        <w:trPr>
          <w:trHeight w:val="450"/>
        </w:trPr>
        <w:tc>
          <w:tcPr>
            <w:tcW w:w="15495" w:type="dxa"/>
            <w:gridSpan w:val="12"/>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ЛОКАЛЬНЫЙ СМЕТНЫЙ РАСЧЕТ (СМЕТА)</w:t>
            </w:r>
          </w:p>
        </w:tc>
      </w:tr>
      <w:tr w:rsidR="00E342FC" w:rsidTr="00E342FC">
        <w:trPr>
          <w:trHeight w:val="291"/>
        </w:trPr>
        <w:tc>
          <w:tcPr>
            <w:tcW w:w="15495" w:type="dxa"/>
            <w:gridSpan w:val="12"/>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Выполнение работ по замене двери на </w:t>
            </w:r>
            <w:proofErr w:type="gramStart"/>
            <w:r>
              <w:rPr>
                <w:rFonts w:ascii="PT Astra Serif" w:hAnsi="PT Astra Serif"/>
                <w:bCs/>
                <w:sz w:val="16"/>
                <w:szCs w:val="16"/>
              </w:rPr>
              <w:t>противопожарную</w:t>
            </w:r>
            <w:proofErr w:type="gramEnd"/>
            <w:r>
              <w:rPr>
                <w:rFonts w:ascii="PT Astra Serif" w:hAnsi="PT Astra Serif"/>
                <w:bCs/>
                <w:sz w:val="16"/>
                <w:szCs w:val="16"/>
              </w:rPr>
              <w:t xml:space="preserve"> в помещении архива </w:t>
            </w:r>
            <w:proofErr w:type="spellStart"/>
            <w:r>
              <w:rPr>
                <w:rFonts w:ascii="PT Astra Serif" w:hAnsi="PT Astra Serif"/>
                <w:bCs/>
                <w:sz w:val="16"/>
                <w:szCs w:val="16"/>
              </w:rPr>
              <w:t>ЗАГСа</w:t>
            </w:r>
            <w:proofErr w:type="spellEnd"/>
            <w:r>
              <w:rPr>
                <w:rFonts w:ascii="PT Astra Serif" w:hAnsi="PT Astra Serif"/>
                <w:bCs/>
                <w:sz w:val="16"/>
                <w:szCs w:val="16"/>
              </w:rPr>
              <w:t xml:space="preserve"> в здании, находящегося по ул. Спортивная, д.2 в городе </w:t>
            </w:r>
            <w:proofErr w:type="spellStart"/>
            <w:r>
              <w:rPr>
                <w:rFonts w:ascii="PT Astra Serif" w:hAnsi="PT Astra Serif"/>
                <w:bCs/>
                <w:sz w:val="16"/>
                <w:szCs w:val="16"/>
              </w:rPr>
              <w:t>Югорске</w:t>
            </w:r>
            <w:proofErr w:type="spellEnd"/>
          </w:p>
        </w:tc>
      </w:tr>
      <w:tr w:rsidR="00E342FC" w:rsidTr="00E342FC">
        <w:trPr>
          <w:trHeight w:val="300"/>
        </w:trPr>
        <w:tc>
          <w:tcPr>
            <w:tcW w:w="15495" w:type="dxa"/>
            <w:gridSpan w:val="12"/>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xml:space="preserve"> (наименование работ и затрат)</w:t>
            </w:r>
          </w:p>
        </w:tc>
      </w:tr>
      <w:tr w:rsidR="00E342FC" w:rsidTr="00E342FC">
        <w:trPr>
          <w:trHeight w:val="276"/>
        </w:trPr>
        <w:tc>
          <w:tcPr>
            <w:tcW w:w="1049" w:type="dxa"/>
            <w:vMerge w:val="restart"/>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 </w:t>
            </w:r>
            <w:proofErr w:type="gramStart"/>
            <w:r>
              <w:rPr>
                <w:rFonts w:ascii="PT Astra Serif" w:hAnsi="PT Astra Serif"/>
                <w:sz w:val="16"/>
                <w:szCs w:val="16"/>
              </w:rPr>
              <w:t>п</w:t>
            </w:r>
            <w:proofErr w:type="gramEnd"/>
            <w:r>
              <w:rPr>
                <w:rFonts w:ascii="PT Astra Serif" w:hAnsi="PT Astra Serif"/>
                <w:sz w:val="16"/>
                <w:szCs w:val="16"/>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Обоснование</w:t>
            </w:r>
          </w:p>
        </w:tc>
        <w:tc>
          <w:tcPr>
            <w:tcW w:w="3081" w:type="dxa"/>
            <w:vMerge w:val="restart"/>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Наименование работ и затрат</w:t>
            </w:r>
          </w:p>
        </w:tc>
        <w:tc>
          <w:tcPr>
            <w:tcW w:w="1028" w:type="dxa"/>
            <w:vMerge w:val="restart"/>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Единица измерения</w:t>
            </w:r>
          </w:p>
        </w:tc>
        <w:tc>
          <w:tcPr>
            <w:tcW w:w="3843" w:type="dxa"/>
            <w:gridSpan w:val="3"/>
            <w:vMerge w:val="restart"/>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Количество</w:t>
            </w:r>
          </w:p>
        </w:tc>
        <w:tc>
          <w:tcPr>
            <w:tcW w:w="5076" w:type="dxa"/>
            <w:gridSpan w:val="5"/>
            <w:vMerge w:val="restart"/>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Сметная стоимость, руб.</w:t>
            </w:r>
          </w:p>
        </w:tc>
      </w:tr>
      <w:tr w:rsidR="00E342FC" w:rsidTr="00E342FC">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r>
      <w:tr w:rsidR="00E342FC" w:rsidTr="00E342FC">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2FC" w:rsidRDefault="00E342FC">
            <w:pPr>
              <w:rPr>
                <w:rFonts w:ascii="PT Astra Serif" w:eastAsia="Times New Roman" w:hAnsi="PT Astra Serif" w:cs="Times New Roman"/>
                <w:kern w:val="2"/>
                <w:sz w:val="16"/>
                <w:szCs w:val="16"/>
                <w:lang w:eastAsia="ar-SA"/>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всего с учетом коэффициентов</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базисном уровне цен</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индекс</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текущем уровне цен</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всего в текущем уровне цен</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1418"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081"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w:t>
            </w:r>
          </w:p>
        </w:tc>
        <w:tc>
          <w:tcPr>
            <w:tcW w:w="1028"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1028"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w:t>
            </w:r>
          </w:p>
        </w:tc>
        <w:tc>
          <w:tcPr>
            <w:tcW w:w="13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w:t>
            </w:r>
          </w:p>
        </w:tc>
        <w:tc>
          <w:tcPr>
            <w:tcW w:w="1426"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w:t>
            </w:r>
          </w:p>
        </w:tc>
        <w:tc>
          <w:tcPr>
            <w:tcW w:w="1028"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w:t>
            </w:r>
          </w:p>
        </w:tc>
        <w:tc>
          <w:tcPr>
            <w:tcW w:w="742"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w:t>
            </w:r>
          </w:p>
        </w:tc>
        <w:tc>
          <w:tcPr>
            <w:tcW w:w="1028"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w:t>
            </w:r>
          </w:p>
        </w:tc>
        <w:tc>
          <w:tcPr>
            <w:tcW w:w="13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12</w:t>
            </w:r>
          </w:p>
        </w:tc>
      </w:tr>
      <w:tr w:rsidR="00E342FC" w:rsidTr="00E342FC">
        <w:trPr>
          <w:trHeight w:val="288"/>
        </w:trPr>
        <w:tc>
          <w:tcPr>
            <w:tcW w:w="15495" w:type="dxa"/>
            <w:gridSpan w:val="12"/>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Раздел 1. Замена двери в помещении архива</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ГЭСНр56-01-010-01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Снятие дверных полотен</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0,017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0,017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028" w:type="dxa"/>
            <w:gridSpan w:val="10"/>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Объем=1,7 / 100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0,61676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270,44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1-100-22</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2,2</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36,28</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0,61676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438,49</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270,44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1,18</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0,02006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270,44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270,44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/812-090.0-3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Проемы (ремонтно-строительные)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246,10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/774-090.0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Проемы (ремонтно-строительные)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127,11</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37 861,76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643,65</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ГЭСНр56-01-009-01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Демонтаж дверных коробок: в каменных стенах с отбивкой штукатурки в откосах</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100 </w:t>
            </w:r>
            <w:proofErr w:type="spellStart"/>
            <w:proofErr w:type="gramStart"/>
            <w:r>
              <w:rPr>
                <w:rFonts w:ascii="PT Astra Serif" w:hAnsi="PT Astra Serif"/>
                <w:bCs/>
                <w:sz w:val="16"/>
                <w:szCs w:val="16"/>
              </w:rPr>
              <w:t>шт</w:t>
            </w:r>
            <w:proofErr w:type="spellEnd"/>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028" w:type="dxa"/>
            <w:gridSpan w:val="10"/>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Объем=1 / 100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1,793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793,29</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1-100-23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2,3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179,3</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1,793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442,44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793,29</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6,89</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91.18.01-508</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Компрессоры винтовые передвижные с электродвигателем, давление до 1 МПа (10 </w:t>
            </w:r>
            <w:proofErr w:type="spellStart"/>
            <w:proofErr w:type="gramStart"/>
            <w:r>
              <w:rPr>
                <w:rFonts w:ascii="PT Astra Serif" w:hAnsi="PT Astra Serif"/>
                <w:sz w:val="16"/>
                <w:szCs w:val="16"/>
              </w:rPr>
              <w:t>атм</w:t>
            </w:r>
            <w:proofErr w:type="spellEnd"/>
            <w:proofErr w:type="gramEnd"/>
            <w:r>
              <w:rPr>
                <w:rFonts w:ascii="PT Astra Serif" w:hAnsi="PT Astra Serif"/>
                <w:sz w:val="16"/>
                <w:szCs w:val="16"/>
              </w:rPr>
              <w:t>), производительность до 5 м3/мин</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3,97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0,0397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115,43</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1,45</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167,37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6,64</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91.21.10-002</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Молотки отбойные пневматические при работе от передвижных компрессоров</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7,93</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0,0793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3,16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0,25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10,5</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0,105</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800,18</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793,29</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/812-090.0-3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Проемы (ремонтно-строительные)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721,89</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/774-090.0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Проемы (ремонтно-строительные)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372,85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189 492,00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1 894,92</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ГЭСН09-04-013-01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Установка противопожарных дверей: </w:t>
            </w:r>
            <w:proofErr w:type="spellStart"/>
            <w:r>
              <w:rPr>
                <w:rFonts w:ascii="PT Astra Serif" w:hAnsi="PT Astra Serif"/>
                <w:bCs/>
                <w:sz w:val="16"/>
                <w:szCs w:val="16"/>
              </w:rPr>
              <w:t>однопольных</w:t>
            </w:r>
            <w:proofErr w:type="spellEnd"/>
            <w:r>
              <w:rPr>
                <w:rFonts w:ascii="PT Astra Serif" w:hAnsi="PT Astra Serif"/>
                <w:bCs/>
                <w:sz w:val="16"/>
                <w:szCs w:val="16"/>
              </w:rPr>
              <w:t xml:space="preserve"> глухих</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м</w:t>
            </w:r>
            <w:proofErr w:type="gramStart"/>
            <w:r>
              <w:rPr>
                <w:rFonts w:ascii="PT Astra Serif" w:hAnsi="PT Astra Serif"/>
                <w:bCs/>
                <w:sz w:val="16"/>
                <w:szCs w:val="16"/>
              </w:rPr>
              <w:t>2</w:t>
            </w:r>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3,519</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1 974,02</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1-100-44</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4,4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2,07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3,519</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560,96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1 974,02</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60,15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18,00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21,94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18,00</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91.17.04-233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Аппараты сварочные для ручной дуговой сварки, сварочный ток до 350</w:t>
            </w:r>
            <w:proofErr w:type="gramStart"/>
            <w:r>
              <w:rPr>
                <w:rFonts w:ascii="PT Astra Serif" w:hAnsi="PT Astra Serif"/>
                <w:sz w:val="16"/>
                <w:szCs w:val="16"/>
              </w:rPr>
              <w:t xml:space="preserve"> А</w:t>
            </w:r>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0,71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1,207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31,66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38,21</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557,81</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01.7.03.04-0001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Электроэнергия</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gramStart"/>
            <w:r>
              <w:rPr>
                <w:rFonts w:ascii="PT Astra Serif" w:hAnsi="PT Astra Serif"/>
                <w:sz w:val="16"/>
                <w:szCs w:val="16"/>
              </w:rPr>
              <w:t>кВт-ч</w:t>
            </w:r>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0,4908</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0,83436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6,61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5,52</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01.7.11.07-0227</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Электроды сварочные для сварки низколегированных и углеродистых сталей УОНИ 13/45, Э42А, диаметр 4-5 мм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0,119</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155,63</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161,86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19,26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01.7.15.02-0051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Болты анкерные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0,003</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0,0051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89 330,06</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104 516,17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533,03</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07.1.01.01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Дверь противопожарная металлическая</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proofErr w:type="spellStart"/>
            <w:proofErr w:type="gramStart"/>
            <w:r>
              <w:rPr>
                <w:rFonts w:ascii="PT Astra Serif" w:hAnsi="PT Astra Serif"/>
                <w:i/>
                <w:iCs/>
                <w:sz w:val="16"/>
                <w:szCs w:val="16"/>
              </w:rPr>
              <w:t>шт</w:t>
            </w:r>
            <w:proofErr w:type="spellEnd"/>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E342FC" w:rsidTr="00E342FC">
        <w:trPr>
          <w:trHeight w:val="636"/>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Уд</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14.5.01.05-0013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Герметик пенополиуретановый (пена монтажная) противопожарный для мест с повышенными требованиями пожарной безопасности, объем 880 мл</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proofErr w:type="spellStart"/>
            <w:proofErr w:type="gramStart"/>
            <w:r>
              <w:rPr>
                <w:rFonts w:ascii="PT Astra Serif" w:hAnsi="PT Astra Serif"/>
                <w:i/>
                <w:iCs/>
                <w:sz w:val="16"/>
                <w:szCs w:val="16"/>
              </w:rPr>
              <w:t>шт</w:t>
            </w:r>
            <w:proofErr w:type="spellEnd"/>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0,27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0,459</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478,28</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1,2</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573,94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263,44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2 609,98</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1 992,02</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/812-009.0-3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Строительные металлические конструкции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1 872,50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/774-009.0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Строительные металлические конструкции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62</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62</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1 235,05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3 363,25</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5 717,53</w:t>
            </w:r>
          </w:p>
        </w:tc>
      </w:tr>
      <w:tr w:rsidR="00E342FC" w:rsidTr="00E342FC">
        <w:trPr>
          <w:trHeight w:val="701"/>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3.1</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ФСБЦ-07.1.01.01-0008</w:t>
            </w:r>
            <w:r>
              <w:rPr>
                <w:rFonts w:ascii="PT Astra Serif" w:hAnsi="PT Astra Serif"/>
                <w:bCs/>
                <w:sz w:val="16"/>
                <w:szCs w:val="16"/>
              </w:rPr>
              <w:br/>
              <w:t>применительно</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Блок дверной металлический противопожарный двупольный, предел огнестойкости EI 60, с заполнением минеральной ватой, окрашенный порошковыми красками, с замком-защелкой, без доводчика, размеры 1500х2100 мм // Блок дверной металлический противопожарный </w:t>
            </w:r>
            <w:proofErr w:type="spellStart"/>
            <w:r>
              <w:rPr>
                <w:rFonts w:ascii="PT Astra Serif" w:hAnsi="PT Astra Serif"/>
                <w:bCs/>
                <w:sz w:val="16"/>
                <w:szCs w:val="16"/>
              </w:rPr>
              <w:t>однопольный</w:t>
            </w:r>
            <w:proofErr w:type="spellEnd"/>
            <w:r>
              <w:rPr>
                <w:rFonts w:ascii="PT Astra Serif" w:hAnsi="PT Astra Serif"/>
                <w:bCs/>
                <w:sz w:val="16"/>
                <w:szCs w:val="16"/>
              </w:rPr>
              <w:t xml:space="preserve">, предел огнестойкости EI 30, с заполнением минеральной ватой, </w:t>
            </w:r>
            <w:r>
              <w:rPr>
                <w:rFonts w:ascii="PT Astra Serif" w:hAnsi="PT Astra Serif"/>
                <w:bCs/>
                <w:sz w:val="16"/>
                <w:szCs w:val="16"/>
              </w:rPr>
              <w:lastRenderedPageBreak/>
              <w:t>окрашенный порошковыми красками, с замком-защелкой, без доводчика, размеры 800х2100 мм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proofErr w:type="spellStart"/>
            <w:proofErr w:type="gramStart"/>
            <w:r>
              <w:rPr>
                <w:rFonts w:ascii="PT Astra Serif" w:hAnsi="PT Astra Serif"/>
                <w:bCs/>
                <w:sz w:val="16"/>
                <w:szCs w:val="16"/>
              </w:rPr>
              <w:lastRenderedPageBreak/>
              <w:t>шт</w:t>
            </w:r>
            <w:proofErr w:type="spellEnd"/>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19 899,24</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1,32</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26 267,00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26 267,00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lastRenderedPageBreak/>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028" w:type="dxa"/>
            <w:gridSpan w:val="10"/>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монтажных работ)</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26 267,00</w:t>
            </w:r>
          </w:p>
        </w:tc>
      </w:tr>
      <w:tr w:rsidR="00E342FC" w:rsidTr="00E342FC">
        <w:trPr>
          <w:trHeight w:val="636"/>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ГЭСНр61-01-007-01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Ремонт штукатурки откосов внутри здания по камню и бетону цементно-известковым раствором: прямолинейных</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028" w:type="dxa"/>
            <w:gridSpan w:val="10"/>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Объем=1 / 100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3,8306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1 891,55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1-100-34</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383,06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3,8306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493,80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1 891,55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20,22</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0,0373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19,05</w:t>
            </w:r>
          </w:p>
        </w:tc>
      </w:tr>
      <w:tr w:rsidR="00E342FC" w:rsidTr="00E342FC">
        <w:trPr>
          <w:trHeight w:val="636"/>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91.06.05-060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2,57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0,0257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756,75</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19,45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2,57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0,0257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13,60</w:t>
            </w:r>
          </w:p>
        </w:tc>
      </w:tr>
      <w:tr w:rsidR="00E342FC" w:rsidTr="00E342FC">
        <w:trPr>
          <w:trHeight w:val="432"/>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0,0116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0,77</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1,16</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0,0116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5,45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331,55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01.7.03.01-0001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Вода</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0,35</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0,0035</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35,71</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52,14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0,18</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04.3.01.07-0025</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Раствор штукатурный, известковый, М100</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0,044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3 392,36</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2,22</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7 531,04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331,37</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8,1</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0,081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2 262,37</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1 910,60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/812-095.0-3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Штукатурные работы (ремонтно-строительные)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90</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1 719,54</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/774-095.0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Штукатурные работы (ремонтно-строительные)</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840,66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482 257,00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4 822,57</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ГЭСНр69-01-009-01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Очистка помещений от строительного мусора</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0,0007</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0,0007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028" w:type="dxa"/>
            <w:gridSpan w:val="10"/>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Объем=0,07 / 100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0,1316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52,46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1-100-11</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1,1</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188</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0,1316</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398,60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52,46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100</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0,07</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52,46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52,46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/812-103.0-3</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w:t>
            </w:r>
            <w:proofErr w:type="gramStart"/>
            <w:r>
              <w:rPr>
                <w:rFonts w:ascii="PT Astra Serif" w:hAnsi="PT Astra Serif"/>
                <w:sz w:val="16"/>
                <w:szCs w:val="16"/>
              </w:rPr>
              <w:t xml:space="preserve"> П</w:t>
            </w:r>
            <w:proofErr w:type="gramEnd"/>
            <w:r>
              <w:rPr>
                <w:rFonts w:ascii="PT Astra Serif" w:hAnsi="PT Astra Serif"/>
                <w:sz w:val="16"/>
                <w:szCs w:val="16"/>
              </w:rPr>
              <w:t>рочие ремонтно-строительные работы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93</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93</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48,79</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/774-103.0</w:t>
            </w: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w:t>
            </w:r>
            <w:proofErr w:type="gramStart"/>
            <w:r>
              <w:rPr>
                <w:rFonts w:ascii="PT Astra Serif" w:hAnsi="PT Astra Serif"/>
                <w:sz w:val="16"/>
                <w:szCs w:val="16"/>
              </w:rPr>
              <w:t xml:space="preserve"> П</w:t>
            </w:r>
            <w:proofErr w:type="gramEnd"/>
            <w:r>
              <w:rPr>
                <w:rFonts w:ascii="PT Astra Serif" w:hAnsi="PT Astra Serif"/>
                <w:sz w:val="16"/>
                <w:szCs w:val="16"/>
              </w:rPr>
              <w:t>рочие ремонтно-строительные работы</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23,08</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3081"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26"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742"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28"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177 614,29</w:t>
            </w:r>
          </w:p>
        </w:tc>
        <w:tc>
          <w:tcPr>
            <w:tcW w:w="13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89" w:type="dxa"/>
            <w:tcBorders>
              <w:top w:val="single" w:sz="4" w:space="0" w:color="auto"/>
              <w:left w:val="single" w:sz="4" w:space="0" w:color="auto"/>
              <w:bottom w:val="single" w:sz="4" w:space="0" w:color="auto"/>
              <w:right w:val="single" w:sz="4" w:space="0" w:color="auto"/>
            </w:tcBorders>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124,33</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смете:</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33 069,93</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4 981,76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87,26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37,05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27 963,86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14 010,50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4 981,76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 и механизмов</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87,26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37,05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1 696,86</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4 608,82</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2 598,75</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Монтажные работы</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26 267,00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88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26 267,00</w:t>
            </w: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Всего</w:t>
            </w:r>
          </w:p>
        </w:tc>
        <w:tc>
          <w:tcPr>
            <w:tcW w:w="889" w:type="dxa"/>
            <w:tcBorders>
              <w:top w:val="single" w:sz="4" w:space="0" w:color="auto"/>
              <w:left w:val="single" w:sz="4" w:space="0" w:color="auto"/>
              <w:bottom w:val="single" w:sz="4" w:space="0" w:color="auto"/>
              <w:right w:val="single" w:sz="4" w:space="0" w:color="auto"/>
            </w:tcBorders>
            <w:noWrap/>
          </w:tcPr>
          <w:p w:rsidR="00E342FC" w:rsidRDefault="00E342FC">
            <w:pPr>
              <w:suppressAutoHyphens/>
              <w:jc w:val="center"/>
              <w:rPr>
                <w:rFonts w:ascii="PT Astra Serif" w:eastAsia="Times New Roman" w:hAnsi="PT Astra Serif" w:cs="Times New Roman"/>
                <w:bCs/>
                <w:kern w:val="2"/>
                <w:sz w:val="16"/>
                <w:szCs w:val="16"/>
                <w:lang w:eastAsia="ar-SA"/>
              </w:rPr>
            </w:pP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889" w:type="dxa"/>
            <w:tcBorders>
              <w:top w:val="single" w:sz="4" w:space="0" w:color="auto"/>
              <w:left w:val="single" w:sz="4" w:space="0" w:color="auto"/>
              <w:bottom w:val="single" w:sz="4" w:space="0" w:color="auto"/>
              <w:right w:val="single" w:sz="4" w:space="0" w:color="auto"/>
            </w:tcBorders>
            <w:noWrap/>
          </w:tcPr>
          <w:p w:rsidR="00E342FC" w:rsidRDefault="00E342FC">
            <w:pPr>
              <w:suppressAutoHyphens/>
              <w:jc w:val="center"/>
              <w:rPr>
                <w:rFonts w:ascii="PT Astra Serif" w:eastAsia="Times New Roman" w:hAnsi="PT Astra Serif" w:cs="Times New Roman"/>
                <w:kern w:val="2"/>
                <w:sz w:val="16"/>
                <w:szCs w:val="16"/>
                <w:lang w:eastAsia="ar-SA"/>
              </w:rPr>
            </w:pPr>
          </w:p>
        </w:tc>
      </w:tr>
      <w:tr w:rsidR="00E342FC" w:rsidTr="00E342FC">
        <w:trPr>
          <w:trHeight w:val="5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889" w:type="dxa"/>
            <w:tcBorders>
              <w:top w:val="single" w:sz="4" w:space="0" w:color="auto"/>
              <w:left w:val="single" w:sz="4" w:space="0" w:color="auto"/>
              <w:bottom w:val="single" w:sz="4" w:space="0" w:color="auto"/>
              <w:right w:val="single" w:sz="4" w:space="0" w:color="auto"/>
            </w:tcBorders>
            <w:noWrap/>
          </w:tcPr>
          <w:p w:rsidR="00E342FC" w:rsidRDefault="00E342FC">
            <w:pPr>
              <w:suppressAutoHyphens/>
              <w:jc w:val="center"/>
              <w:rPr>
                <w:rFonts w:ascii="PT Astra Serif" w:eastAsia="Times New Roman" w:hAnsi="PT Astra Serif" w:cs="Times New Roman"/>
                <w:kern w:val="2"/>
                <w:sz w:val="16"/>
                <w:szCs w:val="16"/>
                <w:lang w:eastAsia="ar-SA"/>
              </w:rPr>
            </w:pP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889" w:type="dxa"/>
            <w:tcBorders>
              <w:top w:val="single" w:sz="4" w:space="0" w:color="auto"/>
              <w:left w:val="single" w:sz="4" w:space="0" w:color="auto"/>
              <w:bottom w:val="single" w:sz="4" w:space="0" w:color="auto"/>
              <w:right w:val="single" w:sz="4" w:space="0" w:color="auto"/>
            </w:tcBorders>
            <w:noWrap/>
          </w:tcPr>
          <w:p w:rsidR="00E342FC" w:rsidRDefault="00E342FC">
            <w:pPr>
              <w:suppressAutoHyphens/>
              <w:jc w:val="center"/>
              <w:rPr>
                <w:rFonts w:ascii="PT Astra Serif" w:eastAsia="Times New Roman" w:hAnsi="PT Astra Serif" w:cs="Times New Roman"/>
                <w:kern w:val="2"/>
                <w:sz w:val="16"/>
                <w:szCs w:val="16"/>
                <w:lang w:eastAsia="ar-SA"/>
              </w:rPr>
            </w:pP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НДС 20%</w:t>
            </w:r>
          </w:p>
        </w:tc>
        <w:tc>
          <w:tcPr>
            <w:tcW w:w="889" w:type="dxa"/>
            <w:tcBorders>
              <w:top w:val="single" w:sz="4" w:space="0" w:color="auto"/>
              <w:left w:val="single" w:sz="4" w:space="0" w:color="auto"/>
              <w:bottom w:val="single" w:sz="4" w:space="0" w:color="auto"/>
              <w:right w:val="single" w:sz="4" w:space="0" w:color="auto"/>
            </w:tcBorders>
            <w:noWrap/>
          </w:tcPr>
          <w:p w:rsidR="00E342FC" w:rsidRDefault="00E342FC">
            <w:pPr>
              <w:suppressAutoHyphens/>
              <w:jc w:val="center"/>
              <w:rPr>
                <w:rFonts w:ascii="PT Astra Serif" w:eastAsia="Times New Roman" w:hAnsi="PT Astra Serif" w:cs="Times New Roman"/>
                <w:kern w:val="2"/>
                <w:sz w:val="16"/>
                <w:szCs w:val="16"/>
                <w:lang w:eastAsia="ar-SA"/>
              </w:rPr>
            </w:pPr>
          </w:p>
        </w:tc>
      </w:tr>
      <w:tr w:rsidR="00E342FC" w:rsidTr="00E342FC">
        <w:trPr>
          <w:trHeight w:val="288"/>
        </w:trPr>
        <w:tc>
          <w:tcPr>
            <w:tcW w:w="1049" w:type="dxa"/>
            <w:tcBorders>
              <w:top w:val="single" w:sz="4" w:space="0" w:color="auto"/>
              <w:left w:val="single" w:sz="4" w:space="0" w:color="auto"/>
              <w:bottom w:val="single" w:sz="4" w:space="0" w:color="auto"/>
              <w:right w:val="single" w:sz="4" w:space="0" w:color="auto"/>
            </w:tcBorders>
            <w:noWrap/>
            <w:hideMark/>
          </w:tcPr>
          <w:p w:rsidR="00E342FC" w:rsidRDefault="00E342FC">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418" w:type="dxa"/>
            <w:tcBorders>
              <w:top w:val="single" w:sz="4" w:space="0" w:color="auto"/>
              <w:left w:val="single" w:sz="4" w:space="0" w:color="auto"/>
              <w:bottom w:val="single" w:sz="4" w:space="0" w:color="auto"/>
              <w:right w:val="single" w:sz="4" w:space="0" w:color="auto"/>
            </w:tcBorders>
            <w:hideMark/>
          </w:tcPr>
          <w:p w:rsidR="00E342FC" w:rsidRDefault="00E342FC">
            <w:pPr>
              <w:rPr>
                <w:rFonts w:cs="Times New Roman"/>
              </w:rPr>
            </w:pPr>
          </w:p>
        </w:tc>
        <w:tc>
          <w:tcPr>
            <w:tcW w:w="12139" w:type="dxa"/>
            <w:gridSpan w:val="9"/>
            <w:tcBorders>
              <w:top w:val="single" w:sz="4" w:space="0" w:color="auto"/>
              <w:left w:val="single" w:sz="4" w:space="0" w:color="auto"/>
              <w:bottom w:val="single" w:sz="4" w:space="0" w:color="auto"/>
              <w:right w:val="single" w:sz="4" w:space="0" w:color="auto"/>
            </w:tcBorders>
            <w:hideMark/>
          </w:tcPr>
          <w:p w:rsidR="00E342FC" w:rsidRDefault="00E342FC">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смете</w:t>
            </w:r>
          </w:p>
        </w:tc>
        <w:tc>
          <w:tcPr>
            <w:tcW w:w="889" w:type="dxa"/>
            <w:tcBorders>
              <w:top w:val="single" w:sz="4" w:space="0" w:color="auto"/>
              <w:left w:val="single" w:sz="4" w:space="0" w:color="auto"/>
              <w:bottom w:val="single" w:sz="4" w:space="0" w:color="auto"/>
              <w:right w:val="single" w:sz="4" w:space="0" w:color="auto"/>
            </w:tcBorders>
            <w:noWrap/>
          </w:tcPr>
          <w:p w:rsidR="00E342FC" w:rsidRDefault="00E342FC">
            <w:pPr>
              <w:suppressAutoHyphens/>
              <w:jc w:val="center"/>
              <w:rPr>
                <w:rFonts w:ascii="PT Astra Serif" w:eastAsia="Times New Roman" w:hAnsi="PT Astra Serif" w:cs="Times New Roman"/>
                <w:bCs/>
                <w:kern w:val="2"/>
                <w:sz w:val="16"/>
                <w:szCs w:val="16"/>
                <w:lang w:eastAsia="ar-SA"/>
              </w:rPr>
            </w:pPr>
          </w:p>
        </w:tc>
      </w:tr>
    </w:tbl>
    <w:p w:rsidR="00E342FC" w:rsidRDefault="00E342FC" w:rsidP="00E342FC">
      <w:pPr>
        <w:spacing w:after="0"/>
        <w:jc w:val="center"/>
        <w:rPr>
          <w:rFonts w:ascii="PT Astra Serif" w:eastAsia="Times New Roman" w:hAnsi="PT Astra Serif"/>
          <w:b/>
          <w:kern w:val="2"/>
          <w:lang w:eastAsia="ar-SA"/>
        </w:rPr>
      </w:pPr>
    </w:p>
    <w:p w:rsidR="00E342FC" w:rsidRDefault="00E342FC" w:rsidP="00E342FC">
      <w:pPr>
        <w:rPr>
          <w:rFonts w:ascii="PT Astra Serif" w:hAnsi="PT Astra Serif"/>
        </w:rPr>
      </w:pPr>
    </w:p>
    <w:p w:rsidR="00014CB8" w:rsidRDefault="00014CB8" w:rsidP="00E342FC">
      <w:pPr>
        <w:tabs>
          <w:tab w:val="left" w:pos="9108"/>
        </w:tabs>
        <w:suppressAutoHyphens/>
        <w:spacing w:after="0" w:line="240" w:lineRule="auto"/>
        <w:jc w:val="both"/>
        <w:rPr>
          <w:rFonts w:ascii="PT Astra Serif" w:eastAsia="Times New Roman" w:hAnsi="PT Astra Serif" w:cs="Times New Roman"/>
          <w:b/>
          <w:bCs/>
          <w:kern w:val="2"/>
          <w:lang w:eastAsia="ar-SA"/>
        </w:rPr>
      </w:pPr>
    </w:p>
    <w:p w:rsidR="00E342FC" w:rsidRDefault="00E342FC" w:rsidP="00EF707B">
      <w:pPr>
        <w:suppressAutoHyphens/>
        <w:spacing w:after="0" w:line="240" w:lineRule="auto"/>
        <w:jc w:val="both"/>
        <w:rPr>
          <w:rFonts w:ascii="PT Astra Serif" w:eastAsia="Times New Roman" w:hAnsi="PT Astra Serif" w:cs="Times New Roman"/>
          <w:b/>
          <w:bCs/>
          <w:kern w:val="2"/>
          <w:lang w:eastAsia="ar-SA"/>
        </w:rPr>
      </w:pPr>
    </w:p>
    <w:p w:rsidR="00E342FC" w:rsidRDefault="00E342FC"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lastRenderedPageBreak/>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xml:space="preserve">,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E342FC">
      <w:pPr>
        <w:autoSpaceDE w:val="0"/>
        <w:autoSpaceDN w:val="0"/>
        <w:adjustRightInd w:val="0"/>
        <w:spacing w:after="0" w:line="240" w:lineRule="auto"/>
        <w:rPr>
          <w:rFonts w:ascii="PT Astra Serif" w:eastAsia="Times New Roman" w:hAnsi="PT Astra Serif" w:cs="Times New Roman"/>
          <w:b/>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Согласовано:</w:t>
      </w:r>
    </w:p>
    <w:p w:rsidR="00442029"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i/>
          <w:kern w:val="2"/>
          <w:sz w:val="24"/>
          <w:szCs w:val="24"/>
          <w:lang w:eastAsia="ar-SA"/>
        </w:rPr>
        <w:t>ИКЗ</w:t>
      </w:r>
      <w:r w:rsidR="007A2F51">
        <w:rPr>
          <w:rFonts w:ascii="PT Astra Serif" w:eastAsia="Times New Roman" w:hAnsi="PT Astra Serif" w:cs="Times New Roman"/>
          <w:kern w:val="2"/>
          <w:sz w:val="24"/>
          <w:szCs w:val="24"/>
          <w:lang w:eastAsia="ar-SA"/>
        </w:rPr>
        <w:t xml:space="preserve">  </w:t>
      </w:r>
      <w:r w:rsidR="00E342FC" w:rsidRPr="00E342FC">
        <w:rPr>
          <w:rFonts w:ascii="PT Astra Serif" w:eastAsia="Times New Roman" w:hAnsi="PT Astra Serif" w:cs="Times New Roman"/>
          <w:kern w:val="2"/>
          <w:sz w:val="24"/>
          <w:szCs w:val="24"/>
          <w:lang w:eastAsia="ar-SA"/>
        </w:rPr>
        <w:t>24 38622002368862201001 0262 001 4332 244</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00E342FC">
        <w:rPr>
          <w:rFonts w:ascii="PT Astra Serif" w:eastAsia="Times New Roman" w:hAnsi="PT Astra Serif" w:cs="Times New Roman"/>
          <w:kern w:val="2"/>
          <w:sz w:val="24"/>
          <w:szCs w:val="24"/>
          <w:lang w:eastAsia="ar-SA"/>
        </w:rPr>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proofErr w:type="spellStart"/>
      <w:r w:rsidRPr="00F52DA7">
        <w:rPr>
          <w:rFonts w:ascii="PT Astra Serif" w:eastAsia="Times New Roman" w:hAnsi="PT Astra Serif" w:cs="Times New Roman"/>
          <w:kern w:val="2"/>
          <w:sz w:val="24"/>
          <w:szCs w:val="24"/>
          <w:lang w:eastAsia="ar-SA"/>
        </w:rPr>
        <w:t>Рознерица</w:t>
      </w:r>
      <w:proofErr w:type="spellEnd"/>
      <w:r w:rsidRPr="00F52DA7">
        <w:rPr>
          <w:rFonts w:ascii="PT Astra Serif" w:eastAsia="Times New Roman" w:hAnsi="PT Astra Serif" w:cs="Times New Roman"/>
          <w:kern w:val="2"/>
          <w:sz w:val="24"/>
          <w:szCs w:val="24"/>
          <w:lang w:eastAsia="ar-SA"/>
        </w:rPr>
        <w:t xml:space="preserve"> Е.С.</w:t>
      </w: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Плотников Д.С.</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sectPr w:rsidR="00F52DA7"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FC" w:rsidRDefault="00E342FC" w:rsidP="00B55BF9">
      <w:pPr>
        <w:spacing w:after="0" w:line="240" w:lineRule="auto"/>
      </w:pPr>
      <w:r>
        <w:separator/>
      </w:r>
    </w:p>
  </w:endnote>
  <w:endnote w:type="continuationSeparator" w:id="0">
    <w:p w:rsidR="00E342FC" w:rsidRDefault="00E342F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FC" w:rsidRDefault="00E342FC" w:rsidP="00B55BF9">
      <w:pPr>
        <w:spacing w:after="0" w:line="240" w:lineRule="auto"/>
      </w:pPr>
      <w:r>
        <w:separator/>
      </w:r>
    </w:p>
  </w:footnote>
  <w:footnote w:type="continuationSeparator" w:id="0">
    <w:p w:rsidR="00E342FC" w:rsidRDefault="00E342F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911D0"/>
    <w:rsid w:val="000A5A6A"/>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1EBA"/>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61E64"/>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66176"/>
    <w:rsid w:val="00470C41"/>
    <w:rsid w:val="00481801"/>
    <w:rsid w:val="004A0846"/>
    <w:rsid w:val="004A6986"/>
    <w:rsid w:val="004B0D29"/>
    <w:rsid w:val="004C26FB"/>
    <w:rsid w:val="004C4154"/>
    <w:rsid w:val="004E16B0"/>
    <w:rsid w:val="004F6FD2"/>
    <w:rsid w:val="00506539"/>
    <w:rsid w:val="0051387F"/>
    <w:rsid w:val="005373E8"/>
    <w:rsid w:val="005557F4"/>
    <w:rsid w:val="005558B0"/>
    <w:rsid w:val="0056067C"/>
    <w:rsid w:val="0056386F"/>
    <w:rsid w:val="00563F68"/>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2F51"/>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A0E06"/>
    <w:rsid w:val="009B1225"/>
    <w:rsid w:val="009C0E51"/>
    <w:rsid w:val="009C5132"/>
    <w:rsid w:val="009D0798"/>
    <w:rsid w:val="009E0C5F"/>
    <w:rsid w:val="009E24CA"/>
    <w:rsid w:val="00A12E0A"/>
    <w:rsid w:val="00A168BD"/>
    <w:rsid w:val="00A22735"/>
    <w:rsid w:val="00A40448"/>
    <w:rsid w:val="00A72439"/>
    <w:rsid w:val="00A90C06"/>
    <w:rsid w:val="00A91FFE"/>
    <w:rsid w:val="00AA098C"/>
    <w:rsid w:val="00AA6A00"/>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A53E3"/>
    <w:rsid w:val="00BD49FF"/>
    <w:rsid w:val="00BE139C"/>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24EE"/>
    <w:rsid w:val="00CB579D"/>
    <w:rsid w:val="00CB5B8D"/>
    <w:rsid w:val="00CB6FE9"/>
    <w:rsid w:val="00CC4AAA"/>
    <w:rsid w:val="00CC522D"/>
    <w:rsid w:val="00CD7E68"/>
    <w:rsid w:val="00D0322A"/>
    <w:rsid w:val="00D06FD2"/>
    <w:rsid w:val="00D07F82"/>
    <w:rsid w:val="00D14214"/>
    <w:rsid w:val="00D30B71"/>
    <w:rsid w:val="00D328A1"/>
    <w:rsid w:val="00D36EE2"/>
    <w:rsid w:val="00D51D52"/>
    <w:rsid w:val="00D52BB7"/>
    <w:rsid w:val="00D70D53"/>
    <w:rsid w:val="00D7436B"/>
    <w:rsid w:val="00DB007B"/>
    <w:rsid w:val="00DB138C"/>
    <w:rsid w:val="00DB1FCD"/>
    <w:rsid w:val="00DB7A2E"/>
    <w:rsid w:val="00DC6D28"/>
    <w:rsid w:val="00DF2587"/>
    <w:rsid w:val="00DF7D0F"/>
    <w:rsid w:val="00E027F0"/>
    <w:rsid w:val="00E0671E"/>
    <w:rsid w:val="00E278D7"/>
    <w:rsid w:val="00E342FC"/>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87118296">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67749755">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03288571">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51873718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2491150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22AC-8B88-4603-B7DA-154BC025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23</Pages>
  <Words>11766</Words>
  <Characters>67071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22</cp:revision>
  <cp:lastPrinted>2024-09-12T05:48:00Z</cp:lastPrinted>
  <dcterms:created xsi:type="dcterms:W3CDTF">2024-07-04T07:38:00Z</dcterms:created>
  <dcterms:modified xsi:type="dcterms:W3CDTF">2024-09-12T05:50:00Z</dcterms:modified>
</cp:coreProperties>
</file>